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EB6" w:rsidRDefault="008D2EB6">
      <w:bookmarkStart w:id="0" w:name="_GoBack"/>
      <w:bookmarkEnd w:id="0"/>
    </w:p>
    <w:p w:rsidR="008D2EB6" w:rsidRPr="008D2EB6" w:rsidRDefault="008D2EB6" w:rsidP="008D2EB6">
      <w:pPr>
        <w:numPr>
          <w:ilvl w:val="12"/>
          <w:numId w:val="0"/>
        </w:numPr>
        <w:jc w:val="center"/>
        <w:rPr>
          <w:b/>
          <w:sz w:val="36"/>
        </w:rPr>
      </w:pPr>
      <w:bookmarkStart w:id="1" w:name="_Ref324569337"/>
      <w:r>
        <w:rPr>
          <w:b/>
          <w:sz w:val="36"/>
        </w:rPr>
        <w:t>Invitation for Tenders</w:t>
      </w:r>
      <w:bookmarkEnd w:id="1"/>
      <w:r>
        <w:rPr>
          <w:b/>
          <w:sz w:val="36"/>
        </w:rPr>
        <w:t xml:space="preserve"> (IFT)</w:t>
      </w:r>
    </w:p>
    <w:p w:rsidR="008D2EB6" w:rsidRDefault="008D2EB6" w:rsidP="008D2EB6">
      <w:pPr>
        <w:numPr>
          <w:ilvl w:val="12"/>
          <w:numId w:val="0"/>
        </w:numPr>
        <w:jc w:val="center"/>
        <w:rPr>
          <w:i/>
          <w:spacing w:val="-2"/>
        </w:rPr>
      </w:pPr>
      <w:r>
        <w:rPr>
          <w:noProof/>
          <w:sz w:val="20"/>
        </w:rPr>
        <w:drawing>
          <wp:inline distT="0" distB="0" distL="0" distR="0">
            <wp:extent cx="2162175" cy="8667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162175" cy="866775"/>
                    </a:xfrm>
                    <a:prstGeom prst="rect">
                      <a:avLst/>
                    </a:prstGeom>
                    <a:noFill/>
                    <a:ln w="9525">
                      <a:noFill/>
                      <a:miter lim="800000"/>
                      <a:headEnd/>
                      <a:tailEnd/>
                    </a:ln>
                  </pic:spPr>
                </pic:pic>
              </a:graphicData>
            </a:graphic>
          </wp:inline>
        </w:drawing>
      </w:r>
    </w:p>
    <w:p w:rsidR="005B472C" w:rsidRDefault="005B472C" w:rsidP="008D2EB6">
      <w:pPr>
        <w:numPr>
          <w:ilvl w:val="12"/>
          <w:numId w:val="0"/>
        </w:numPr>
        <w:jc w:val="center"/>
        <w:rPr>
          <w:b/>
          <w:spacing w:val="-2"/>
          <w:sz w:val="28"/>
          <w:szCs w:val="28"/>
        </w:rPr>
      </w:pPr>
      <w:r>
        <w:rPr>
          <w:b/>
          <w:spacing w:val="-2"/>
          <w:sz w:val="28"/>
          <w:szCs w:val="28"/>
        </w:rPr>
        <w:t>MINISTRY OF HEALTH</w:t>
      </w:r>
    </w:p>
    <w:p w:rsidR="008D2EB6" w:rsidRPr="00064C14" w:rsidRDefault="008D2EB6" w:rsidP="008D2EB6">
      <w:pPr>
        <w:numPr>
          <w:ilvl w:val="12"/>
          <w:numId w:val="0"/>
        </w:numPr>
        <w:jc w:val="center"/>
        <w:rPr>
          <w:b/>
          <w:spacing w:val="-2"/>
          <w:sz w:val="28"/>
          <w:szCs w:val="28"/>
        </w:rPr>
      </w:pPr>
      <w:r w:rsidRPr="00064C14">
        <w:rPr>
          <w:b/>
          <w:spacing w:val="-2"/>
          <w:sz w:val="28"/>
          <w:szCs w:val="28"/>
        </w:rPr>
        <w:t xml:space="preserve">Procurement of </w:t>
      </w:r>
      <w:r w:rsidRPr="009B1107">
        <w:rPr>
          <w:b/>
          <w:spacing w:val="-2"/>
          <w:sz w:val="28"/>
          <w:szCs w:val="28"/>
        </w:rPr>
        <w:t>Anti-snake venom (West Africa Polyvalent Serum)</w:t>
      </w:r>
    </w:p>
    <w:p w:rsidR="008D2EB6" w:rsidRPr="00064C14" w:rsidRDefault="008D2EB6" w:rsidP="008D2EB6">
      <w:pPr>
        <w:numPr>
          <w:ilvl w:val="12"/>
          <w:numId w:val="0"/>
        </w:numPr>
        <w:jc w:val="center"/>
        <w:rPr>
          <w:b/>
          <w:spacing w:val="-2"/>
          <w:sz w:val="28"/>
          <w:szCs w:val="28"/>
        </w:rPr>
      </w:pPr>
      <w:r>
        <w:rPr>
          <w:b/>
          <w:spacing w:val="-2"/>
          <w:sz w:val="28"/>
          <w:szCs w:val="28"/>
        </w:rPr>
        <w:t>MOH/2018/ICT/B.2.1/04</w:t>
      </w:r>
    </w:p>
    <w:p w:rsidR="008D2EB6" w:rsidRDefault="008D2EB6" w:rsidP="008D2EB6">
      <w:pPr>
        <w:pStyle w:val="Document1"/>
        <w:keepNext w:val="0"/>
        <w:keepLines w:val="0"/>
        <w:numPr>
          <w:ilvl w:val="12"/>
          <w:numId w:val="0"/>
        </w:numPr>
        <w:tabs>
          <w:tab w:val="clear" w:pos="-720"/>
        </w:tabs>
        <w:suppressAutoHyphens w:val="0"/>
        <w:spacing w:after="200"/>
      </w:pPr>
    </w:p>
    <w:p w:rsidR="008D2EB6" w:rsidRPr="00CA5B68" w:rsidRDefault="008D2EB6" w:rsidP="008D2EB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iCs/>
          <w:spacing w:val="-2"/>
        </w:rPr>
      </w:pPr>
      <w:r>
        <w:rPr>
          <w:spacing w:val="-2"/>
        </w:rPr>
        <w:t>1.</w:t>
      </w:r>
      <w:r>
        <w:rPr>
          <w:spacing w:val="-2"/>
        </w:rPr>
        <w:tab/>
      </w:r>
      <w:r w:rsidRPr="008D2EB6">
        <w:rPr>
          <w:spacing w:val="-2"/>
        </w:rPr>
        <w:t>The Ministry of Health</w:t>
      </w:r>
      <w:r w:rsidRPr="008D2EB6">
        <w:rPr>
          <w:iCs/>
          <w:spacing w:val="-2"/>
        </w:rPr>
        <w:t>, Ghana hereinafter referred</w:t>
      </w:r>
      <w:r w:rsidRPr="00064C14">
        <w:rPr>
          <w:iCs/>
          <w:spacing w:val="-2"/>
        </w:rPr>
        <w:t xml:space="preserve"> to as the Purchaser,</w:t>
      </w:r>
      <w:r w:rsidRPr="00064C14">
        <w:rPr>
          <w:spacing w:val="-2"/>
        </w:rPr>
        <w:t xml:space="preserve"> intends using part of its budgetary allocation to fund </w:t>
      </w:r>
      <w:r w:rsidRPr="00CA5B68">
        <w:rPr>
          <w:spacing w:val="-2"/>
        </w:rPr>
        <w:t xml:space="preserve">the procurement </w:t>
      </w:r>
      <w:r w:rsidRPr="00CA5B68">
        <w:rPr>
          <w:iCs/>
          <w:spacing w:val="-2"/>
        </w:rPr>
        <w:t xml:space="preserve">of Anti-snake venom (West Africa Polyvalent Serum) to support its programme of work.  </w:t>
      </w:r>
    </w:p>
    <w:p w:rsidR="008D2EB6" w:rsidRPr="00064C14" w:rsidRDefault="008D2EB6" w:rsidP="008D2EB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rPr>
      </w:pPr>
    </w:p>
    <w:p w:rsidR="008D2EB6" w:rsidRDefault="008D2EB6" w:rsidP="008D2EB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rPr>
      </w:pPr>
      <w:r w:rsidRPr="00064C14">
        <w:rPr>
          <w:spacing w:val="-2"/>
        </w:rPr>
        <w:t>2.</w:t>
      </w:r>
      <w:r w:rsidRPr="00064C14">
        <w:rPr>
          <w:spacing w:val="-2"/>
        </w:rPr>
        <w:tab/>
        <w:t xml:space="preserve">The </w:t>
      </w:r>
      <w:r w:rsidRPr="00064C14">
        <w:rPr>
          <w:iCs/>
          <w:spacing w:val="-2"/>
        </w:rPr>
        <w:t>Purchaser</w:t>
      </w:r>
      <w:r w:rsidRPr="00064C14">
        <w:rPr>
          <w:spacing w:val="-2"/>
        </w:rPr>
        <w:t xml:space="preserve"> now invites sealed tenders from eligible manufacturers or their authorized representatives for the supply of </w:t>
      </w:r>
      <w:r w:rsidRPr="00CA5B68">
        <w:rPr>
          <w:iCs/>
          <w:spacing w:val="-2"/>
        </w:rPr>
        <w:t>Anti-snake venom</w:t>
      </w:r>
      <w:r>
        <w:rPr>
          <w:iCs/>
          <w:spacing w:val="-2"/>
        </w:rPr>
        <w:t xml:space="preserve"> detailed </w:t>
      </w:r>
      <w:r w:rsidRPr="00064C14">
        <w:rPr>
          <w:spacing w:val="-2"/>
        </w:rPr>
        <w:t xml:space="preserve">in </w:t>
      </w:r>
      <w:r w:rsidR="00CB178B">
        <w:rPr>
          <w:spacing w:val="-2"/>
        </w:rPr>
        <w:t>Table 1 below;</w:t>
      </w:r>
    </w:p>
    <w:p w:rsidR="008D2EB6" w:rsidRPr="003A2D29" w:rsidRDefault="00CB178B" w:rsidP="008D2EB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b/>
          <w:spacing w:val="-2"/>
        </w:rPr>
      </w:pPr>
      <w:r>
        <w:rPr>
          <w:b/>
          <w:spacing w:val="-2"/>
        </w:rPr>
        <w:t xml:space="preserve"> </w:t>
      </w:r>
    </w:p>
    <w:p w:rsidR="008D2EB6" w:rsidRDefault="00CB178B" w:rsidP="009F4217">
      <w:pPr>
        <w:pStyle w:val="Caption"/>
        <w:ind w:firstLine="720"/>
        <w:rPr>
          <w:color w:val="000000"/>
          <w:sz w:val="22"/>
          <w:szCs w:val="22"/>
        </w:rPr>
      </w:pPr>
      <w:r w:rsidRPr="003B1F9E">
        <w:t xml:space="preserve">Table </w:t>
      </w:r>
      <w:r w:rsidR="00F8730D">
        <w:fldChar w:fldCharType="begin"/>
      </w:r>
      <w:r w:rsidR="00F8730D">
        <w:instrText xml:space="preserve"> SEQ Table \* ARABIC </w:instrText>
      </w:r>
      <w:r w:rsidR="00F8730D">
        <w:fldChar w:fldCharType="separate"/>
      </w:r>
      <w:r>
        <w:rPr>
          <w:noProof/>
        </w:rPr>
        <w:t>1</w:t>
      </w:r>
      <w:r w:rsidR="00F8730D">
        <w:rPr>
          <w:noProof/>
        </w:rPr>
        <w:fldChar w:fldCharType="end"/>
      </w:r>
      <w:r w:rsidRPr="003B1F9E">
        <w:t xml:space="preserve">: Schedule of </w:t>
      </w:r>
      <w:r w:rsidRPr="009F4217">
        <w:rPr>
          <w:szCs w:val="24"/>
        </w:rPr>
        <w:t>Requirements for</w:t>
      </w:r>
      <w:r w:rsidR="007F1265">
        <w:rPr>
          <w:szCs w:val="24"/>
        </w:rPr>
        <w:t xml:space="preserve"> the Procurement of</w:t>
      </w:r>
      <w:r w:rsidRPr="009F4217">
        <w:rPr>
          <w:szCs w:val="24"/>
        </w:rPr>
        <w:t xml:space="preserve"> </w:t>
      </w:r>
      <w:r w:rsidR="009F4217" w:rsidRPr="009F4217">
        <w:rPr>
          <w:color w:val="000000"/>
          <w:szCs w:val="24"/>
        </w:rPr>
        <w:t>Anti-snake venom</w:t>
      </w:r>
    </w:p>
    <w:p w:rsidR="009F4217" w:rsidRPr="009F4217" w:rsidRDefault="009F4217" w:rsidP="009F4217"/>
    <w:tbl>
      <w:tblPr>
        <w:tblW w:w="8820" w:type="dxa"/>
        <w:tblInd w:w="918" w:type="dxa"/>
        <w:tblLayout w:type="fixed"/>
        <w:tblLook w:val="04A0" w:firstRow="1" w:lastRow="0" w:firstColumn="1" w:lastColumn="0" w:noHBand="0" w:noVBand="1"/>
      </w:tblPr>
      <w:tblGrid>
        <w:gridCol w:w="630"/>
        <w:gridCol w:w="1530"/>
        <w:gridCol w:w="1800"/>
        <w:gridCol w:w="990"/>
        <w:gridCol w:w="1080"/>
        <w:gridCol w:w="810"/>
        <w:gridCol w:w="810"/>
        <w:gridCol w:w="1170"/>
      </w:tblGrid>
      <w:tr w:rsidR="007930E9" w:rsidRPr="0029799B" w:rsidTr="007930E9">
        <w:trPr>
          <w:trHeight w:val="1220"/>
          <w:tblHeader/>
        </w:trPr>
        <w:tc>
          <w:tcPr>
            <w:tcW w:w="630" w:type="dxa"/>
            <w:tcBorders>
              <w:top w:val="single" w:sz="4" w:space="0" w:color="auto"/>
              <w:left w:val="single" w:sz="4" w:space="0" w:color="auto"/>
              <w:bottom w:val="single" w:sz="4" w:space="0" w:color="auto"/>
              <w:right w:val="single" w:sz="4" w:space="0" w:color="auto"/>
            </w:tcBorders>
            <w:shd w:val="clear" w:color="000000" w:fill="auto"/>
            <w:hideMark/>
          </w:tcPr>
          <w:p w:rsidR="007930E9" w:rsidRPr="00E01EFF" w:rsidRDefault="007930E9" w:rsidP="00EE3599">
            <w:pPr>
              <w:rPr>
                <w:b/>
                <w:bCs/>
                <w:color w:val="000000"/>
                <w:szCs w:val="22"/>
              </w:rPr>
            </w:pPr>
            <w:r w:rsidRPr="00E01EFF">
              <w:rPr>
                <w:b/>
                <w:bCs/>
                <w:color w:val="000000"/>
                <w:sz w:val="22"/>
                <w:szCs w:val="22"/>
              </w:rPr>
              <w:t>Lot No</w:t>
            </w:r>
          </w:p>
        </w:tc>
        <w:tc>
          <w:tcPr>
            <w:tcW w:w="1530" w:type="dxa"/>
            <w:tcBorders>
              <w:top w:val="single" w:sz="4" w:space="0" w:color="auto"/>
              <w:left w:val="nil"/>
              <w:bottom w:val="single" w:sz="4" w:space="0" w:color="auto"/>
              <w:right w:val="single" w:sz="4" w:space="0" w:color="auto"/>
            </w:tcBorders>
            <w:shd w:val="clear" w:color="000000" w:fill="auto"/>
            <w:hideMark/>
          </w:tcPr>
          <w:p w:rsidR="007930E9" w:rsidRPr="00E01EFF" w:rsidRDefault="007930E9" w:rsidP="00EE3599">
            <w:pPr>
              <w:rPr>
                <w:b/>
                <w:bCs/>
                <w:color w:val="000000"/>
                <w:szCs w:val="22"/>
              </w:rPr>
            </w:pPr>
            <w:r w:rsidRPr="00E01EFF">
              <w:rPr>
                <w:b/>
                <w:bCs/>
                <w:color w:val="000000"/>
                <w:sz w:val="22"/>
                <w:szCs w:val="22"/>
              </w:rPr>
              <w:t>International Non</w:t>
            </w:r>
            <w:r>
              <w:rPr>
                <w:b/>
                <w:bCs/>
                <w:color w:val="000000"/>
                <w:sz w:val="22"/>
                <w:szCs w:val="22"/>
              </w:rPr>
              <w:t>-</w:t>
            </w:r>
            <w:r w:rsidRPr="00E01EFF">
              <w:rPr>
                <w:b/>
                <w:bCs/>
                <w:color w:val="000000"/>
                <w:sz w:val="22"/>
                <w:szCs w:val="22"/>
              </w:rPr>
              <w:t>proprietary Name</w:t>
            </w:r>
          </w:p>
        </w:tc>
        <w:tc>
          <w:tcPr>
            <w:tcW w:w="1800" w:type="dxa"/>
            <w:tcBorders>
              <w:top w:val="single" w:sz="4" w:space="0" w:color="auto"/>
              <w:left w:val="nil"/>
              <w:bottom w:val="single" w:sz="4" w:space="0" w:color="auto"/>
              <w:right w:val="single" w:sz="4" w:space="0" w:color="auto"/>
            </w:tcBorders>
            <w:shd w:val="clear" w:color="000000" w:fill="auto"/>
            <w:hideMark/>
          </w:tcPr>
          <w:p w:rsidR="007930E9" w:rsidRPr="00E01EFF" w:rsidRDefault="007930E9" w:rsidP="00EE3599">
            <w:pPr>
              <w:rPr>
                <w:b/>
                <w:bCs/>
                <w:color w:val="000000"/>
                <w:szCs w:val="22"/>
              </w:rPr>
            </w:pPr>
            <w:r w:rsidRPr="00E01EFF">
              <w:rPr>
                <w:b/>
                <w:bCs/>
                <w:color w:val="000000"/>
                <w:sz w:val="22"/>
                <w:szCs w:val="22"/>
              </w:rPr>
              <w:t>Dosage Form/Route of Administration</w:t>
            </w:r>
          </w:p>
        </w:tc>
        <w:tc>
          <w:tcPr>
            <w:tcW w:w="990" w:type="dxa"/>
            <w:tcBorders>
              <w:top w:val="single" w:sz="4" w:space="0" w:color="auto"/>
              <w:left w:val="nil"/>
              <w:bottom w:val="single" w:sz="4" w:space="0" w:color="auto"/>
              <w:right w:val="single" w:sz="4" w:space="0" w:color="auto"/>
            </w:tcBorders>
            <w:shd w:val="clear" w:color="000000" w:fill="auto"/>
            <w:hideMark/>
          </w:tcPr>
          <w:p w:rsidR="007930E9" w:rsidRPr="00E01EFF" w:rsidRDefault="007930E9" w:rsidP="00EE3599">
            <w:pPr>
              <w:rPr>
                <w:b/>
                <w:bCs/>
                <w:color w:val="000000"/>
                <w:szCs w:val="22"/>
              </w:rPr>
            </w:pPr>
            <w:r w:rsidRPr="00E01EFF">
              <w:rPr>
                <w:b/>
                <w:bCs/>
                <w:color w:val="000000"/>
                <w:sz w:val="22"/>
                <w:szCs w:val="22"/>
              </w:rPr>
              <w:t>Packaging</w:t>
            </w:r>
          </w:p>
        </w:tc>
        <w:tc>
          <w:tcPr>
            <w:tcW w:w="1080" w:type="dxa"/>
            <w:tcBorders>
              <w:top w:val="single" w:sz="4" w:space="0" w:color="auto"/>
              <w:left w:val="nil"/>
              <w:bottom w:val="single" w:sz="4" w:space="0" w:color="auto"/>
              <w:right w:val="single" w:sz="4" w:space="0" w:color="auto"/>
            </w:tcBorders>
            <w:shd w:val="clear" w:color="000000" w:fill="auto"/>
            <w:hideMark/>
          </w:tcPr>
          <w:p w:rsidR="007930E9" w:rsidRDefault="007930E9" w:rsidP="00EE3599">
            <w:pPr>
              <w:rPr>
                <w:b/>
                <w:bCs/>
                <w:color w:val="000000"/>
                <w:szCs w:val="22"/>
              </w:rPr>
            </w:pPr>
            <w:r w:rsidRPr="00E01EFF">
              <w:rPr>
                <w:b/>
                <w:bCs/>
                <w:color w:val="000000"/>
                <w:sz w:val="22"/>
                <w:szCs w:val="22"/>
              </w:rPr>
              <w:t>Volume/</w:t>
            </w:r>
          </w:p>
          <w:p w:rsidR="007930E9" w:rsidRPr="00E01EFF" w:rsidRDefault="007930E9" w:rsidP="00EE3599">
            <w:pPr>
              <w:rPr>
                <w:b/>
                <w:bCs/>
                <w:color w:val="000000"/>
                <w:szCs w:val="22"/>
              </w:rPr>
            </w:pPr>
            <w:r w:rsidRPr="00E01EFF">
              <w:rPr>
                <w:b/>
                <w:bCs/>
                <w:color w:val="000000"/>
                <w:sz w:val="22"/>
                <w:szCs w:val="22"/>
              </w:rPr>
              <w:t>Weight</w:t>
            </w:r>
          </w:p>
        </w:tc>
        <w:tc>
          <w:tcPr>
            <w:tcW w:w="810" w:type="dxa"/>
            <w:tcBorders>
              <w:top w:val="single" w:sz="4" w:space="0" w:color="auto"/>
              <w:left w:val="nil"/>
              <w:bottom w:val="single" w:sz="4" w:space="0" w:color="auto"/>
              <w:right w:val="single" w:sz="4" w:space="0" w:color="auto"/>
            </w:tcBorders>
            <w:shd w:val="clear" w:color="000000" w:fill="auto"/>
            <w:hideMark/>
          </w:tcPr>
          <w:p w:rsidR="007930E9" w:rsidRPr="00E01EFF" w:rsidRDefault="007930E9" w:rsidP="00EE3599">
            <w:pPr>
              <w:rPr>
                <w:b/>
                <w:bCs/>
                <w:color w:val="000000"/>
                <w:szCs w:val="22"/>
              </w:rPr>
            </w:pPr>
            <w:r w:rsidRPr="00E01EFF">
              <w:rPr>
                <w:b/>
                <w:bCs/>
                <w:color w:val="000000"/>
                <w:sz w:val="22"/>
                <w:szCs w:val="22"/>
              </w:rPr>
              <w:t>Pack Size</w:t>
            </w:r>
          </w:p>
        </w:tc>
        <w:tc>
          <w:tcPr>
            <w:tcW w:w="810" w:type="dxa"/>
            <w:tcBorders>
              <w:top w:val="single" w:sz="4" w:space="0" w:color="auto"/>
              <w:left w:val="nil"/>
              <w:bottom w:val="single" w:sz="4" w:space="0" w:color="auto"/>
              <w:right w:val="single" w:sz="4" w:space="0" w:color="auto"/>
            </w:tcBorders>
            <w:shd w:val="clear" w:color="000000" w:fill="auto"/>
            <w:hideMark/>
          </w:tcPr>
          <w:p w:rsidR="007930E9" w:rsidRPr="00E01EFF" w:rsidRDefault="007930E9" w:rsidP="00EE3599">
            <w:pPr>
              <w:rPr>
                <w:b/>
                <w:bCs/>
                <w:color w:val="000000"/>
                <w:szCs w:val="22"/>
              </w:rPr>
            </w:pPr>
            <w:r>
              <w:rPr>
                <w:b/>
                <w:bCs/>
                <w:color w:val="000000"/>
                <w:sz w:val="22"/>
                <w:szCs w:val="22"/>
              </w:rPr>
              <w:t>Pack Q</w:t>
            </w:r>
            <w:r w:rsidRPr="00E01EFF">
              <w:rPr>
                <w:b/>
                <w:bCs/>
                <w:color w:val="000000"/>
                <w:sz w:val="22"/>
                <w:szCs w:val="22"/>
              </w:rPr>
              <w:t>ty</w:t>
            </w:r>
          </w:p>
        </w:tc>
        <w:tc>
          <w:tcPr>
            <w:tcW w:w="1170" w:type="dxa"/>
            <w:tcBorders>
              <w:top w:val="single" w:sz="4" w:space="0" w:color="auto"/>
              <w:left w:val="nil"/>
              <w:bottom w:val="single" w:sz="4" w:space="0" w:color="auto"/>
              <w:right w:val="single" w:sz="4" w:space="0" w:color="auto"/>
            </w:tcBorders>
            <w:shd w:val="clear" w:color="000000" w:fill="auto"/>
          </w:tcPr>
          <w:p w:rsidR="007930E9" w:rsidRDefault="007930E9" w:rsidP="00EE3599">
            <w:pPr>
              <w:rPr>
                <w:b/>
                <w:bCs/>
                <w:color w:val="000000"/>
                <w:szCs w:val="22"/>
              </w:rPr>
            </w:pPr>
            <w:r>
              <w:rPr>
                <w:b/>
                <w:bCs/>
                <w:color w:val="000000"/>
                <w:sz w:val="22"/>
                <w:szCs w:val="22"/>
              </w:rPr>
              <w:t>Total Q</w:t>
            </w:r>
            <w:r w:rsidRPr="00E01EFF">
              <w:rPr>
                <w:b/>
                <w:bCs/>
                <w:color w:val="000000"/>
                <w:sz w:val="22"/>
                <w:szCs w:val="22"/>
              </w:rPr>
              <w:t>ty</w:t>
            </w:r>
            <w:r>
              <w:rPr>
                <w:b/>
                <w:bCs/>
                <w:color w:val="000000"/>
                <w:sz w:val="22"/>
                <w:szCs w:val="22"/>
              </w:rPr>
              <w:t xml:space="preserve"> </w:t>
            </w:r>
          </w:p>
          <w:p w:rsidR="007930E9" w:rsidRPr="00E01EFF" w:rsidRDefault="007930E9" w:rsidP="00EE3599">
            <w:pPr>
              <w:rPr>
                <w:b/>
                <w:bCs/>
                <w:color w:val="000000"/>
                <w:szCs w:val="22"/>
              </w:rPr>
            </w:pPr>
            <w:r>
              <w:rPr>
                <w:b/>
                <w:bCs/>
                <w:color w:val="000000"/>
                <w:sz w:val="22"/>
                <w:szCs w:val="22"/>
              </w:rPr>
              <w:t>(Pieces)</w:t>
            </w:r>
          </w:p>
        </w:tc>
      </w:tr>
      <w:tr w:rsidR="007930E9" w:rsidRPr="0029799B" w:rsidTr="007930E9">
        <w:trPr>
          <w:trHeight w:val="740"/>
        </w:trPr>
        <w:tc>
          <w:tcPr>
            <w:tcW w:w="630" w:type="dxa"/>
            <w:tcBorders>
              <w:top w:val="nil"/>
              <w:left w:val="single" w:sz="4" w:space="0" w:color="auto"/>
              <w:bottom w:val="single" w:sz="4" w:space="0" w:color="auto"/>
              <w:right w:val="single" w:sz="4" w:space="0" w:color="auto"/>
            </w:tcBorders>
            <w:shd w:val="clear" w:color="auto" w:fill="auto"/>
            <w:noWrap/>
            <w:hideMark/>
          </w:tcPr>
          <w:p w:rsidR="007930E9" w:rsidRPr="00E01EFF" w:rsidRDefault="007930E9" w:rsidP="00EE3599">
            <w:pPr>
              <w:rPr>
                <w:color w:val="000000"/>
                <w:szCs w:val="22"/>
              </w:rPr>
            </w:pPr>
            <w:r w:rsidRPr="00E01EFF">
              <w:rPr>
                <w:color w:val="000000"/>
                <w:sz w:val="22"/>
                <w:szCs w:val="22"/>
              </w:rPr>
              <w:t>1</w:t>
            </w:r>
          </w:p>
        </w:tc>
        <w:tc>
          <w:tcPr>
            <w:tcW w:w="1530" w:type="dxa"/>
            <w:tcBorders>
              <w:top w:val="nil"/>
              <w:left w:val="nil"/>
              <w:bottom w:val="single" w:sz="4" w:space="0" w:color="auto"/>
              <w:right w:val="single" w:sz="4" w:space="0" w:color="auto"/>
            </w:tcBorders>
            <w:shd w:val="clear" w:color="auto" w:fill="auto"/>
            <w:hideMark/>
          </w:tcPr>
          <w:p w:rsidR="007930E9" w:rsidRPr="00E01EFF" w:rsidRDefault="007930E9" w:rsidP="00EE3599">
            <w:pPr>
              <w:rPr>
                <w:color w:val="000000"/>
                <w:szCs w:val="22"/>
              </w:rPr>
            </w:pPr>
            <w:r w:rsidRPr="00E01EFF">
              <w:rPr>
                <w:color w:val="000000"/>
                <w:sz w:val="22"/>
                <w:szCs w:val="22"/>
              </w:rPr>
              <w:t>Anti-snake venom (West Africa Polyvalent Serum)</w:t>
            </w:r>
          </w:p>
        </w:tc>
        <w:tc>
          <w:tcPr>
            <w:tcW w:w="1800" w:type="dxa"/>
            <w:tcBorders>
              <w:top w:val="nil"/>
              <w:left w:val="nil"/>
              <w:bottom w:val="single" w:sz="4" w:space="0" w:color="auto"/>
              <w:right w:val="single" w:sz="4" w:space="0" w:color="auto"/>
            </w:tcBorders>
            <w:shd w:val="clear" w:color="auto" w:fill="auto"/>
            <w:hideMark/>
          </w:tcPr>
          <w:p w:rsidR="007930E9" w:rsidRPr="00E01EFF" w:rsidRDefault="007930E9" w:rsidP="00EE3599">
            <w:pPr>
              <w:rPr>
                <w:color w:val="000000"/>
                <w:szCs w:val="22"/>
              </w:rPr>
            </w:pPr>
            <w:r w:rsidRPr="00E01EFF">
              <w:rPr>
                <w:color w:val="000000"/>
                <w:sz w:val="22"/>
                <w:szCs w:val="22"/>
              </w:rPr>
              <w:t>Injection (PFR)</w:t>
            </w:r>
          </w:p>
        </w:tc>
        <w:tc>
          <w:tcPr>
            <w:tcW w:w="990" w:type="dxa"/>
            <w:tcBorders>
              <w:top w:val="nil"/>
              <w:left w:val="nil"/>
              <w:bottom w:val="single" w:sz="4" w:space="0" w:color="auto"/>
              <w:right w:val="single" w:sz="4" w:space="0" w:color="auto"/>
            </w:tcBorders>
            <w:shd w:val="clear" w:color="auto" w:fill="auto"/>
            <w:hideMark/>
          </w:tcPr>
          <w:p w:rsidR="007930E9" w:rsidRPr="00E01EFF" w:rsidRDefault="007930E9" w:rsidP="00EE3599">
            <w:pPr>
              <w:rPr>
                <w:color w:val="000000"/>
                <w:szCs w:val="22"/>
              </w:rPr>
            </w:pPr>
            <w:r w:rsidRPr="00E01EFF">
              <w:rPr>
                <w:color w:val="000000"/>
                <w:sz w:val="22"/>
                <w:szCs w:val="22"/>
              </w:rPr>
              <w:t>Vial</w:t>
            </w:r>
          </w:p>
        </w:tc>
        <w:tc>
          <w:tcPr>
            <w:tcW w:w="1080" w:type="dxa"/>
            <w:tcBorders>
              <w:top w:val="nil"/>
              <w:left w:val="nil"/>
              <w:bottom w:val="single" w:sz="4" w:space="0" w:color="auto"/>
              <w:right w:val="single" w:sz="4" w:space="0" w:color="auto"/>
            </w:tcBorders>
            <w:shd w:val="clear" w:color="auto" w:fill="auto"/>
            <w:hideMark/>
          </w:tcPr>
          <w:p w:rsidR="007930E9" w:rsidRPr="00E01EFF" w:rsidRDefault="007930E9" w:rsidP="00EE3599">
            <w:pPr>
              <w:rPr>
                <w:color w:val="000000"/>
                <w:szCs w:val="22"/>
              </w:rPr>
            </w:pPr>
            <w:r w:rsidRPr="00E01EFF">
              <w:rPr>
                <w:color w:val="000000"/>
                <w:sz w:val="22"/>
                <w:szCs w:val="22"/>
              </w:rPr>
              <w:t>10 mL</w:t>
            </w:r>
          </w:p>
        </w:tc>
        <w:tc>
          <w:tcPr>
            <w:tcW w:w="810" w:type="dxa"/>
            <w:tcBorders>
              <w:top w:val="nil"/>
              <w:left w:val="nil"/>
              <w:bottom w:val="single" w:sz="4" w:space="0" w:color="auto"/>
              <w:right w:val="single" w:sz="4" w:space="0" w:color="auto"/>
            </w:tcBorders>
            <w:shd w:val="clear" w:color="auto" w:fill="auto"/>
            <w:noWrap/>
            <w:hideMark/>
          </w:tcPr>
          <w:p w:rsidR="007930E9" w:rsidRPr="00E01EFF" w:rsidRDefault="007930E9" w:rsidP="00EE3599">
            <w:pPr>
              <w:rPr>
                <w:color w:val="000000"/>
                <w:szCs w:val="22"/>
              </w:rPr>
            </w:pPr>
            <w:r w:rsidRPr="00E01EFF">
              <w:rPr>
                <w:color w:val="000000"/>
                <w:sz w:val="22"/>
                <w:szCs w:val="22"/>
              </w:rPr>
              <w:t>1x10</w:t>
            </w:r>
          </w:p>
        </w:tc>
        <w:tc>
          <w:tcPr>
            <w:tcW w:w="810" w:type="dxa"/>
            <w:tcBorders>
              <w:top w:val="nil"/>
              <w:left w:val="nil"/>
              <w:bottom w:val="single" w:sz="4" w:space="0" w:color="auto"/>
              <w:right w:val="single" w:sz="4" w:space="0" w:color="auto"/>
            </w:tcBorders>
            <w:shd w:val="clear" w:color="auto" w:fill="auto"/>
            <w:noWrap/>
            <w:hideMark/>
          </w:tcPr>
          <w:p w:rsidR="007930E9" w:rsidRPr="00E01EFF" w:rsidRDefault="007930E9" w:rsidP="00EE3599">
            <w:pPr>
              <w:rPr>
                <w:color w:val="000000"/>
                <w:szCs w:val="22"/>
              </w:rPr>
            </w:pPr>
            <w:r w:rsidRPr="00E01EFF">
              <w:rPr>
                <w:color w:val="000000"/>
                <w:sz w:val="22"/>
                <w:szCs w:val="22"/>
              </w:rPr>
              <w:t>5,000</w:t>
            </w:r>
          </w:p>
        </w:tc>
        <w:tc>
          <w:tcPr>
            <w:tcW w:w="1170" w:type="dxa"/>
            <w:tcBorders>
              <w:top w:val="nil"/>
              <w:left w:val="nil"/>
              <w:bottom w:val="single" w:sz="4" w:space="0" w:color="auto"/>
              <w:right w:val="single" w:sz="4" w:space="0" w:color="auto"/>
            </w:tcBorders>
          </w:tcPr>
          <w:p w:rsidR="007930E9" w:rsidRPr="00E01EFF" w:rsidRDefault="007930E9" w:rsidP="00EE3599">
            <w:pPr>
              <w:rPr>
                <w:color w:val="000000"/>
                <w:szCs w:val="22"/>
              </w:rPr>
            </w:pPr>
            <w:r>
              <w:rPr>
                <w:color w:val="000000"/>
                <w:sz w:val="22"/>
                <w:szCs w:val="22"/>
              </w:rPr>
              <w:t>50,000</w:t>
            </w:r>
          </w:p>
        </w:tc>
      </w:tr>
    </w:tbl>
    <w:p w:rsidR="008D2EB6" w:rsidRDefault="008D2EB6" w:rsidP="008D2EB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rPr>
      </w:pPr>
    </w:p>
    <w:p w:rsidR="008D2EB6" w:rsidRPr="0029799B" w:rsidRDefault="008D2EB6" w:rsidP="008D2EB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rPr>
      </w:pPr>
    </w:p>
    <w:p w:rsidR="008D2EB6" w:rsidRDefault="008D2EB6" w:rsidP="008D2EB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rPr>
      </w:pPr>
      <w:r w:rsidRPr="00064C14">
        <w:rPr>
          <w:spacing w:val="-2"/>
        </w:rPr>
        <w:t>3.</w:t>
      </w:r>
      <w:r w:rsidRPr="00064C14">
        <w:rPr>
          <w:spacing w:val="-2"/>
        </w:rPr>
        <w:tab/>
        <w:t>Tendering</w:t>
      </w:r>
      <w:r>
        <w:rPr>
          <w:spacing w:val="-2"/>
        </w:rPr>
        <w:t xml:space="preserve"> will be conducted through the International Competitive T</w:t>
      </w:r>
      <w:r w:rsidRPr="00064C14">
        <w:rPr>
          <w:spacing w:val="-2"/>
        </w:rPr>
        <w:t>endering</w:t>
      </w:r>
      <w:r w:rsidR="005E2297">
        <w:rPr>
          <w:spacing w:val="-2"/>
        </w:rPr>
        <w:t xml:space="preserve"> (ICT)</w:t>
      </w:r>
      <w:r w:rsidRPr="00064C14">
        <w:rPr>
          <w:spacing w:val="-2"/>
        </w:rPr>
        <w:t xml:space="preserve"> procedures specified in the Republic of Ghana’s Procurement Act, 2003, Act 663</w:t>
      </w:r>
      <w:r w:rsidR="00D3777E">
        <w:rPr>
          <w:spacing w:val="-2"/>
        </w:rPr>
        <w:t xml:space="preserve"> and Act 914</w:t>
      </w:r>
      <w:r w:rsidR="005E2297">
        <w:rPr>
          <w:spacing w:val="-2"/>
        </w:rPr>
        <w:t xml:space="preserve"> </w:t>
      </w:r>
      <w:r w:rsidR="00D3777E">
        <w:rPr>
          <w:spacing w:val="-2"/>
        </w:rPr>
        <w:t>as A</w:t>
      </w:r>
      <w:r>
        <w:rPr>
          <w:spacing w:val="-2"/>
        </w:rPr>
        <w:t>mended</w:t>
      </w:r>
      <w:r w:rsidRPr="00064C14">
        <w:rPr>
          <w:spacing w:val="-2"/>
        </w:rPr>
        <w:t xml:space="preserve"> and is open to all Tenderers from eligible source countries as defined in the Guidelines of the Public Procurement </w:t>
      </w:r>
      <w:r w:rsidR="006C5C33">
        <w:rPr>
          <w:spacing w:val="-2"/>
        </w:rPr>
        <w:t>Authority</w:t>
      </w:r>
      <w:r w:rsidRPr="00064C14">
        <w:rPr>
          <w:spacing w:val="-2"/>
        </w:rPr>
        <w:t xml:space="preserve"> of the Republic of Ghana.</w:t>
      </w:r>
    </w:p>
    <w:p w:rsidR="008D2EB6" w:rsidRPr="00064C14" w:rsidRDefault="008D2EB6" w:rsidP="0089772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rPr>
      </w:pPr>
    </w:p>
    <w:p w:rsidR="00897726" w:rsidRPr="00897726" w:rsidRDefault="008D2EB6" w:rsidP="00897726">
      <w:pPr>
        <w:pStyle w:val="ListParagraph"/>
        <w:numPr>
          <w:ilvl w:val="0"/>
          <w:numId w:val="2"/>
        </w:numPr>
        <w:tabs>
          <w:tab w:val="left" w:pos="720"/>
        </w:tabs>
        <w:ind w:hanging="720"/>
        <w:jc w:val="both"/>
        <w:rPr>
          <w:b/>
          <w:spacing w:val="-2"/>
        </w:rPr>
      </w:pPr>
      <w:r w:rsidRPr="00897726">
        <w:rPr>
          <w:spacing w:val="-2"/>
        </w:rPr>
        <w:t>Tenderers must quote for the required product quantity. Tenders that do not offer the complete quantities will be rejected as incomplete. Delivery shall be in two (2) tranches. First tranche delivery shall be 90 days after the contract signing and second tranche delivery shall be Nine (9) months after the date of the first delivery.</w:t>
      </w:r>
      <w:r w:rsidR="00897726" w:rsidRPr="00897726">
        <w:rPr>
          <w:b/>
          <w:spacing w:val="-2"/>
        </w:rPr>
        <w:t xml:space="preserve"> THE PRODUCT MUST BE REGISTERED WITH THE GHANA FOOD AND DRUGS AUTHORITY AT THE TIME OF TENDERING.</w:t>
      </w:r>
    </w:p>
    <w:p w:rsidR="008D2EB6" w:rsidRPr="00897726" w:rsidRDefault="008D2EB6" w:rsidP="008D2EB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rPr>
      </w:pPr>
    </w:p>
    <w:p w:rsidR="008D2EB6" w:rsidRPr="00897726" w:rsidRDefault="008D2EB6" w:rsidP="008D2EB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rPr>
      </w:pPr>
    </w:p>
    <w:p w:rsidR="008D2EB6" w:rsidRPr="004B6507" w:rsidRDefault="00897726" w:rsidP="004B6507">
      <w:pPr>
        <w:pStyle w:val="ListParagraph"/>
        <w:numPr>
          <w:ilvl w:val="0"/>
          <w:numId w:val="2"/>
        </w:numPr>
        <w:tabs>
          <w:tab w:val="left" w:pos="720"/>
        </w:tabs>
        <w:ind w:hanging="720"/>
        <w:jc w:val="both"/>
        <w:rPr>
          <w:b/>
          <w:spacing w:val="-2"/>
        </w:rPr>
      </w:pPr>
      <w:r w:rsidRPr="00897726">
        <w:rPr>
          <w:spacing w:val="-2"/>
        </w:rPr>
        <w:lastRenderedPageBreak/>
        <w:t>Eligible tenderers must be ready, willing and able to supply the product according to the delivery schedule and be paid six (6) months after delivery and acceptance of the goods. Tenderers are to provide a statement in their Tender Form to comply with this eligibility requirement.</w:t>
      </w:r>
    </w:p>
    <w:p w:rsidR="008D2EB6" w:rsidRPr="00064C14" w:rsidRDefault="008D2EB6" w:rsidP="008D2EB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spacing w:val="-2"/>
        </w:rPr>
      </w:pPr>
    </w:p>
    <w:p w:rsidR="00D3777E" w:rsidRDefault="004B6507" w:rsidP="00D3777E">
      <w:pPr>
        <w:tabs>
          <w:tab w:val="left" w:pos="0"/>
          <w:tab w:val="left" w:pos="72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rPr>
      </w:pPr>
      <w:r>
        <w:rPr>
          <w:spacing w:val="-2"/>
        </w:rPr>
        <w:t>6</w:t>
      </w:r>
      <w:r w:rsidR="008D2EB6">
        <w:rPr>
          <w:spacing w:val="-2"/>
        </w:rPr>
        <w:t>.</w:t>
      </w:r>
      <w:r w:rsidR="008D2EB6">
        <w:rPr>
          <w:spacing w:val="-2"/>
        </w:rPr>
        <w:tab/>
      </w:r>
      <w:r w:rsidR="008D2EB6" w:rsidRPr="00064C14">
        <w:rPr>
          <w:spacing w:val="-2"/>
        </w:rPr>
        <w:t xml:space="preserve">A complete set of </w:t>
      </w:r>
      <w:r w:rsidR="008D2EB6">
        <w:rPr>
          <w:spacing w:val="-2"/>
        </w:rPr>
        <w:t>Tender</w:t>
      </w:r>
      <w:r w:rsidR="008D2EB6" w:rsidRPr="00064C14">
        <w:rPr>
          <w:spacing w:val="-2"/>
        </w:rPr>
        <w:t xml:space="preserve"> Documents in ENGLISH may be purchased by interested Tenderers on the submission of a written Application to the address below and upon payment of a non-refundable fee of </w:t>
      </w:r>
      <w:r w:rsidR="008D2EB6" w:rsidRPr="00585256">
        <w:rPr>
          <w:b/>
          <w:spacing w:val="-2"/>
        </w:rPr>
        <w:t>Two Hundred US Dollars (USD $200</w:t>
      </w:r>
      <w:r w:rsidR="008D2EB6" w:rsidRPr="00064C14">
        <w:rPr>
          <w:b/>
          <w:spacing w:val="-2"/>
        </w:rPr>
        <w:t>.00</w:t>
      </w:r>
      <w:r w:rsidR="008D2EB6" w:rsidRPr="00064C14">
        <w:rPr>
          <w:spacing w:val="-2"/>
        </w:rPr>
        <w:t xml:space="preserve">) </w:t>
      </w:r>
      <w:r w:rsidRPr="003B1F9E">
        <w:rPr>
          <w:spacing w:val="-2"/>
        </w:rPr>
        <w:t xml:space="preserve">or equivalent in Ghana </w:t>
      </w:r>
      <w:proofErr w:type="spellStart"/>
      <w:r w:rsidRPr="003B1F9E">
        <w:rPr>
          <w:spacing w:val="-2"/>
        </w:rPr>
        <w:t>Cedis</w:t>
      </w:r>
      <w:proofErr w:type="spellEnd"/>
      <w:r w:rsidRPr="003B1F9E">
        <w:rPr>
          <w:spacing w:val="-2"/>
        </w:rPr>
        <w:t xml:space="preserve">. </w:t>
      </w:r>
      <w:r w:rsidR="008D2EB6" w:rsidRPr="00064C14">
        <w:rPr>
          <w:spacing w:val="-2"/>
        </w:rPr>
        <w:t xml:space="preserve"> The</w:t>
      </w:r>
      <w:r w:rsidR="008D2EB6">
        <w:rPr>
          <w:spacing w:val="-2"/>
        </w:rPr>
        <w:t xml:space="preserve"> method of payment will be cash</w:t>
      </w:r>
      <w:r w:rsidR="00D3777E">
        <w:rPr>
          <w:spacing w:val="-2"/>
        </w:rPr>
        <w:t xml:space="preserve">. </w:t>
      </w:r>
      <w:r w:rsidR="00D3777E" w:rsidRPr="00064C14">
        <w:rPr>
          <w:spacing w:val="-2"/>
        </w:rPr>
        <w:t>Interested eligible tenderers may obtain further information from</w:t>
      </w:r>
      <w:r w:rsidR="00D3777E" w:rsidRPr="00064C14">
        <w:rPr>
          <w:i/>
          <w:spacing w:val="-2"/>
        </w:rPr>
        <w:t xml:space="preserve"> </w:t>
      </w:r>
      <w:r w:rsidR="00D3777E" w:rsidRPr="00897726">
        <w:rPr>
          <w:spacing w:val="-2"/>
        </w:rPr>
        <w:t>the Procurement Unit</w:t>
      </w:r>
      <w:r w:rsidR="00D3777E" w:rsidRPr="00064C14">
        <w:rPr>
          <w:i/>
          <w:spacing w:val="-2"/>
        </w:rPr>
        <w:t xml:space="preserve">, </w:t>
      </w:r>
      <w:r w:rsidR="00D3777E" w:rsidRPr="00897726">
        <w:rPr>
          <w:spacing w:val="-2"/>
        </w:rPr>
        <w:t>Room 5 and inspect</w:t>
      </w:r>
      <w:r w:rsidR="00D3777E" w:rsidRPr="00064C14">
        <w:rPr>
          <w:spacing w:val="-2"/>
        </w:rPr>
        <w:t xml:space="preserve"> the tender documents at the address given below</w:t>
      </w:r>
      <w:r w:rsidR="00D3777E">
        <w:rPr>
          <w:spacing w:val="-2"/>
        </w:rPr>
        <w:t>;</w:t>
      </w:r>
    </w:p>
    <w:p w:rsidR="008D2EB6" w:rsidRPr="00064C14" w:rsidRDefault="008D2EB6" w:rsidP="00D377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rPr>
      </w:pPr>
    </w:p>
    <w:p w:rsidR="008D2EB6" w:rsidRDefault="00D3777E" w:rsidP="008D2EB6">
      <w:pPr>
        <w:tabs>
          <w:tab w:val="left" w:pos="0"/>
          <w:tab w:val="left" w:pos="72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rPr>
      </w:pPr>
      <w:r>
        <w:rPr>
          <w:spacing w:val="-2"/>
        </w:rPr>
        <w:t>7</w:t>
      </w:r>
      <w:r w:rsidR="008D2EB6">
        <w:rPr>
          <w:spacing w:val="-2"/>
        </w:rPr>
        <w:t>.</w:t>
      </w:r>
      <w:r w:rsidR="008D2EB6">
        <w:rPr>
          <w:spacing w:val="-2"/>
        </w:rPr>
        <w:tab/>
      </w:r>
      <w:r w:rsidR="008D2EB6" w:rsidRPr="00064C14">
        <w:rPr>
          <w:spacing w:val="-2"/>
        </w:rPr>
        <w:t xml:space="preserve">The </w:t>
      </w:r>
      <w:r w:rsidR="008D2EB6">
        <w:rPr>
          <w:spacing w:val="-2"/>
        </w:rPr>
        <w:t>Tender</w:t>
      </w:r>
      <w:r w:rsidR="008D2EB6" w:rsidRPr="00064C14">
        <w:rPr>
          <w:spacing w:val="-2"/>
        </w:rPr>
        <w:t xml:space="preserve"> Documents will be sent by courier to interested </w:t>
      </w:r>
      <w:r w:rsidR="008D2EB6">
        <w:rPr>
          <w:spacing w:val="-2"/>
        </w:rPr>
        <w:t>Tenderers</w:t>
      </w:r>
      <w:r w:rsidR="008D2EB6" w:rsidRPr="00064C14">
        <w:rPr>
          <w:spacing w:val="-2"/>
        </w:rPr>
        <w:t xml:space="preserve"> upon an additional payment of </w:t>
      </w:r>
      <w:r w:rsidR="008D2EB6" w:rsidRPr="00585256">
        <w:rPr>
          <w:b/>
          <w:spacing w:val="-2"/>
        </w:rPr>
        <w:t xml:space="preserve">One Hundred US Dollars </w:t>
      </w:r>
      <w:r w:rsidR="008D2EB6">
        <w:rPr>
          <w:b/>
          <w:spacing w:val="-2"/>
        </w:rPr>
        <w:t>(</w:t>
      </w:r>
      <w:r w:rsidR="008D2EB6" w:rsidRPr="00585256">
        <w:rPr>
          <w:b/>
          <w:spacing w:val="-2"/>
        </w:rPr>
        <w:t>US$100.00</w:t>
      </w:r>
      <w:r w:rsidR="008D2EB6" w:rsidRPr="00064C14">
        <w:rPr>
          <w:spacing w:val="-2"/>
        </w:rPr>
        <w:t>)</w:t>
      </w:r>
      <w:r w:rsidR="008D2EB6">
        <w:rPr>
          <w:spacing w:val="-2"/>
        </w:rPr>
        <w:t>.</w:t>
      </w:r>
      <w:r w:rsidR="008D2EB6" w:rsidRPr="00064C14">
        <w:rPr>
          <w:spacing w:val="-2"/>
        </w:rPr>
        <w:t xml:space="preserve"> </w:t>
      </w:r>
      <w:r w:rsidR="008D2EB6">
        <w:rPr>
          <w:spacing w:val="-2"/>
        </w:rPr>
        <w:t>The documents will be promptly dispatched by courier</w:t>
      </w:r>
      <w:r w:rsidR="008D2EB6" w:rsidRPr="00585256">
        <w:rPr>
          <w:spacing w:val="-2"/>
        </w:rPr>
        <w:t xml:space="preserve"> </w:t>
      </w:r>
      <w:r w:rsidR="008D2EB6">
        <w:rPr>
          <w:spacing w:val="-2"/>
        </w:rPr>
        <w:t>u</w:t>
      </w:r>
      <w:r w:rsidR="008D2EB6" w:rsidRPr="00064C14">
        <w:rPr>
          <w:spacing w:val="-2"/>
        </w:rPr>
        <w:t>pon receipt of evidence of payment</w:t>
      </w:r>
      <w:r w:rsidR="008D2EB6">
        <w:rPr>
          <w:spacing w:val="-2"/>
        </w:rPr>
        <w:t xml:space="preserve"> </w:t>
      </w:r>
      <w:r w:rsidR="008D2EB6" w:rsidRPr="00064C14">
        <w:rPr>
          <w:spacing w:val="-2"/>
        </w:rPr>
        <w:t>but no liability can be accepted for loss or late delivery</w:t>
      </w:r>
      <w:r>
        <w:rPr>
          <w:spacing w:val="-2"/>
        </w:rPr>
        <w:t>.</w:t>
      </w:r>
    </w:p>
    <w:p w:rsidR="00D3777E" w:rsidRDefault="00D3777E" w:rsidP="008D2EB6">
      <w:pPr>
        <w:tabs>
          <w:tab w:val="left" w:pos="0"/>
          <w:tab w:val="left" w:pos="72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rPr>
      </w:pPr>
    </w:p>
    <w:p w:rsidR="008D2EB6" w:rsidRDefault="00D3777E" w:rsidP="008D2EB6">
      <w:pPr>
        <w:tabs>
          <w:tab w:val="left" w:pos="0"/>
          <w:tab w:val="left" w:pos="72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rPr>
      </w:pPr>
      <w:r>
        <w:rPr>
          <w:spacing w:val="-2"/>
        </w:rPr>
        <w:t>8</w:t>
      </w:r>
      <w:r w:rsidR="008D2EB6">
        <w:rPr>
          <w:spacing w:val="-2"/>
        </w:rPr>
        <w:t>.</w:t>
      </w:r>
      <w:r w:rsidR="008D2EB6">
        <w:rPr>
          <w:spacing w:val="-2"/>
        </w:rPr>
        <w:tab/>
      </w:r>
      <w:r w:rsidR="008D2EB6" w:rsidRPr="00064C14">
        <w:rPr>
          <w:spacing w:val="-2"/>
        </w:rPr>
        <w:t xml:space="preserve">Sealed tenders must be delivered to the address below on or before 10.00am </w:t>
      </w:r>
      <w:r w:rsidR="008D2EB6">
        <w:rPr>
          <w:spacing w:val="-2"/>
        </w:rPr>
        <w:t xml:space="preserve">(local time) </w:t>
      </w:r>
      <w:r w:rsidR="008D2EB6" w:rsidRPr="00064C14">
        <w:rPr>
          <w:spacing w:val="-2"/>
        </w:rPr>
        <w:t xml:space="preserve">on </w:t>
      </w:r>
      <w:r w:rsidR="008D2EB6" w:rsidRPr="00F0141B">
        <w:rPr>
          <w:b/>
          <w:iCs/>
          <w:spacing w:val="-2"/>
          <w:u w:val="single"/>
        </w:rPr>
        <w:t xml:space="preserve">Tuesday </w:t>
      </w:r>
      <w:r w:rsidRPr="00F0141B">
        <w:rPr>
          <w:b/>
          <w:iCs/>
          <w:spacing w:val="-2"/>
          <w:u w:val="single"/>
        </w:rPr>
        <w:t>2</w:t>
      </w:r>
      <w:r w:rsidR="00DB70AA" w:rsidRPr="00F0141B">
        <w:rPr>
          <w:b/>
          <w:iCs/>
          <w:spacing w:val="-2"/>
          <w:u w:val="single"/>
        </w:rPr>
        <w:t>8</w:t>
      </w:r>
      <w:r w:rsidR="00DB70AA" w:rsidRPr="00F0141B">
        <w:rPr>
          <w:b/>
          <w:iCs/>
          <w:spacing w:val="-2"/>
          <w:u w:val="single"/>
          <w:vertAlign w:val="superscript"/>
        </w:rPr>
        <w:t>th</w:t>
      </w:r>
      <w:r w:rsidR="008D2EB6" w:rsidRPr="00F0141B">
        <w:rPr>
          <w:b/>
          <w:iCs/>
          <w:spacing w:val="-2"/>
          <w:u w:val="single"/>
        </w:rPr>
        <w:t xml:space="preserve"> August, 2018</w:t>
      </w:r>
      <w:r w:rsidR="008D2EB6" w:rsidRPr="00D3777E">
        <w:rPr>
          <w:iCs/>
          <w:spacing w:val="-2"/>
        </w:rPr>
        <w:t>.</w:t>
      </w:r>
      <w:r w:rsidR="008D2EB6" w:rsidRPr="00064C14">
        <w:rPr>
          <w:i/>
          <w:iCs/>
          <w:spacing w:val="-2"/>
        </w:rPr>
        <w:t xml:space="preserve"> </w:t>
      </w:r>
      <w:r w:rsidR="008D2EB6" w:rsidRPr="00064C14">
        <w:rPr>
          <w:spacing w:val="-2"/>
        </w:rPr>
        <w:t xml:space="preserve">All tenders must be accompanied by a </w:t>
      </w:r>
      <w:r w:rsidR="008D2EB6">
        <w:rPr>
          <w:spacing w:val="-2"/>
        </w:rPr>
        <w:t>T</w:t>
      </w:r>
      <w:r w:rsidR="008D2EB6" w:rsidRPr="00064C14">
        <w:rPr>
          <w:spacing w:val="-2"/>
        </w:rPr>
        <w:t xml:space="preserve">ender </w:t>
      </w:r>
      <w:r w:rsidR="008D2EB6">
        <w:rPr>
          <w:spacing w:val="-2"/>
        </w:rPr>
        <w:t>S</w:t>
      </w:r>
      <w:r w:rsidR="008D2EB6" w:rsidRPr="00064C14">
        <w:rPr>
          <w:spacing w:val="-2"/>
        </w:rPr>
        <w:t xml:space="preserve">ecurity </w:t>
      </w:r>
      <w:r w:rsidR="00DB70AA">
        <w:rPr>
          <w:spacing w:val="-2"/>
        </w:rPr>
        <w:t>o</w:t>
      </w:r>
      <w:r w:rsidR="008D2EB6" w:rsidRPr="00064C14">
        <w:rPr>
          <w:spacing w:val="-2"/>
        </w:rPr>
        <w:t xml:space="preserve">f 2% of the tender price. </w:t>
      </w:r>
      <w:r w:rsidR="008D2EB6">
        <w:rPr>
          <w:spacing w:val="-2"/>
        </w:rPr>
        <w:t>Tender</w:t>
      </w:r>
      <w:r w:rsidR="008D2EB6" w:rsidRPr="00064C14">
        <w:rPr>
          <w:spacing w:val="-2"/>
        </w:rPr>
        <w:t xml:space="preserve"> Security must be in the Form of a </w:t>
      </w:r>
      <w:r w:rsidR="008D2EB6" w:rsidRPr="00064C14">
        <w:rPr>
          <w:b/>
          <w:spacing w:val="-2"/>
        </w:rPr>
        <w:t>Bank Guarantee</w:t>
      </w:r>
      <w:r w:rsidR="00DB70AA">
        <w:rPr>
          <w:b/>
          <w:spacing w:val="-2"/>
        </w:rPr>
        <w:t xml:space="preserve"> or </w:t>
      </w:r>
      <w:r w:rsidR="008D2EB6" w:rsidRPr="00064C14">
        <w:rPr>
          <w:b/>
          <w:spacing w:val="-2"/>
        </w:rPr>
        <w:t>Insurance Bond</w:t>
      </w:r>
      <w:r w:rsidR="008D2EB6" w:rsidRPr="00064C14">
        <w:rPr>
          <w:spacing w:val="-2"/>
        </w:rPr>
        <w:t xml:space="preserve"> </w:t>
      </w:r>
      <w:r w:rsidR="008D2EB6">
        <w:rPr>
          <w:spacing w:val="-2"/>
        </w:rPr>
        <w:t xml:space="preserve">from a recognized </w:t>
      </w:r>
      <w:r w:rsidR="008D2EB6">
        <w:t>Insurance company</w:t>
      </w:r>
      <w:r w:rsidR="008D2EB6" w:rsidRPr="00064C14">
        <w:rPr>
          <w:spacing w:val="-2"/>
        </w:rPr>
        <w:t xml:space="preserve">. </w:t>
      </w:r>
      <w:r w:rsidR="008D2EB6">
        <w:rPr>
          <w:spacing w:val="-2"/>
        </w:rPr>
        <w:t>Tenders</w:t>
      </w:r>
      <w:r w:rsidR="008D2EB6" w:rsidRPr="00064C14">
        <w:rPr>
          <w:spacing w:val="-2"/>
        </w:rPr>
        <w:t xml:space="preserve"> submitted without </w:t>
      </w:r>
      <w:r w:rsidR="008D2EB6">
        <w:rPr>
          <w:spacing w:val="-2"/>
        </w:rPr>
        <w:t>Tender</w:t>
      </w:r>
      <w:r w:rsidR="008D2EB6" w:rsidRPr="00064C14">
        <w:rPr>
          <w:spacing w:val="-2"/>
        </w:rPr>
        <w:t xml:space="preserve"> Securities would b</w:t>
      </w:r>
      <w:r w:rsidR="008D2EB6">
        <w:rPr>
          <w:spacing w:val="-2"/>
        </w:rPr>
        <w:t>e rejected as non-responsive.</w:t>
      </w:r>
    </w:p>
    <w:p w:rsidR="008D2EB6" w:rsidRDefault="008D2EB6" w:rsidP="008D2EB6">
      <w:pPr>
        <w:tabs>
          <w:tab w:val="left" w:pos="0"/>
          <w:tab w:val="left" w:pos="72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rPr>
      </w:pPr>
    </w:p>
    <w:p w:rsidR="008D2EB6" w:rsidRPr="00010BB4" w:rsidRDefault="00D3777E" w:rsidP="00DB70AA">
      <w:pPr>
        <w:tabs>
          <w:tab w:val="left" w:pos="0"/>
          <w:tab w:val="left" w:pos="72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szCs w:val="24"/>
        </w:rPr>
      </w:pPr>
      <w:r>
        <w:rPr>
          <w:spacing w:val="-2"/>
        </w:rPr>
        <w:t>9</w:t>
      </w:r>
      <w:r w:rsidR="008D2EB6">
        <w:rPr>
          <w:spacing w:val="-2"/>
        </w:rPr>
        <w:t>.</w:t>
      </w:r>
      <w:r w:rsidR="008D2EB6">
        <w:rPr>
          <w:spacing w:val="-2"/>
        </w:rPr>
        <w:tab/>
      </w:r>
      <w:r w:rsidR="008D2EB6" w:rsidRPr="00064C14">
        <w:rPr>
          <w:spacing w:val="-2"/>
        </w:rPr>
        <w:t xml:space="preserve">Late tenders will be rejected. Electronic </w:t>
      </w:r>
      <w:r w:rsidR="008D2EB6">
        <w:rPr>
          <w:spacing w:val="-2"/>
        </w:rPr>
        <w:t>Tender</w:t>
      </w:r>
      <w:r>
        <w:rPr>
          <w:spacing w:val="-2"/>
        </w:rPr>
        <w:t>s</w:t>
      </w:r>
      <w:r w:rsidR="008D2EB6" w:rsidRPr="00064C14">
        <w:rPr>
          <w:spacing w:val="-2"/>
        </w:rPr>
        <w:t xml:space="preserve"> will not be permitted. Tenders will be opened in the presence of the tenderers’ representatives, who choose to attend at the address below </w:t>
      </w:r>
      <w:r w:rsidR="008D2EB6" w:rsidRPr="00D3777E">
        <w:rPr>
          <w:spacing w:val="-2"/>
        </w:rPr>
        <w:t xml:space="preserve">at 10.00am (local time) on </w:t>
      </w:r>
      <w:r w:rsidR="00DB70AA" w:rsidRPr="00DB70AA">
        <w:rPr>
          <w:b/>
          <w:iCs/>
          <w:spacing w:val="-2"/>
          <w:u w:val="single"/>
        </w:rPr>
        <w:t>Tuesday 28</w:t>
      </w:r>
      <w:r w:rsidR="00DB70AA" w:rsidRPr="00DB70AA">
        <w:rPr>
          <w:b/>
          <w:iCs/>
          <w:spacing w:val="-2"/>
          <w:u w:val="single"/>
          <w:vertAlign w:val="superscript"/>
        </w:rPr>
        <w:t>th</w:t>
      </w:r>
      <w:r w:rsidR="00DB70AA" w:rsidRPr="00DB70AA">
        <w:rPr>
          <w:b/>
          <w:iCs/>
          <w:spacing w:val="-2"/>
          <w:u w:val="single"/>
        </w:rPr>
        <w:t xml:space="preserve"> August, 2018</w:t>
      </w:r>
      <w:r w:rsidR="00DB70AA">
        <w:rPr>
          <w:spacing w:val="-2"/>
          <w:szCs w:val="24"/>
        </w:rPr>
        <w:t xml:space="preserve">. </w:t>
      </w:r>
      <w:r w:rsidR="008D2EB6" w:rsidRPr="00010BB4">
        <w:rPr>
          <w:spacing w:val="-2"/>
          <w:szCs w:val="24"/>
        </w:rPr>
        <w:t>The address for purchase and submission of tender documents is stated below:</w:t>
      </w:r>
    </w:p>
    <w:p w:rsidR="008D2EB6" w:rsidRPr="00010BB4" w:rsidRDefault="008D2EB6" w:rsidP="008D2EB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szCs w:val="24"/>
        </w:rPr>
      </w:pPr>
    </w:p>
    <w:p w:rsidR="008D2EB6" w:rsidRPr="00010BB4" w:rsidRDefault="008D2EB6" w:rsidP="008D2EB6">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rPr>
          <w:b/>
          <w:i/>
          <w:spacing w:val="-2"/>
          <w:szCs w:val="24"/>
        </w:rPr>
      </w:pPr>
    </w:p>
    <w:p w:rsidR="008D2EB6" w:rsidRPr="00010BB4" w:rsidRDefault="008D2EB6" w:rsidP="008D2EB6">
      <w:pPr>
        <w:numPr>
          <w:ilvl w:val="12"/>
          <w:numId w:val="0"/>
        </w:numPr>
        <w:jc w:val="center"/>
        <w:rPr>
          <w:b/>
          <w:szCs w:val="24"/>
        </w:rPr>
      </w:pPr>
      <w:r w:rsidRPr="00010BB4">
        <w:rPr>
          <w:b/>
          <w:szCs w:val="24"/>
        </w:rPr>
        <w:t>THE PROCUREMENT UNIT: ROOM NO. 5</w:t>
      </w:r>
    </w:p>
    <w:p w:rsidR="008D2EB6" w:rsidRPr="00010BB4" w:rsidRDefault="008D2EB6" w:rsidP="008D2EB6">
      <w:pPr>
        <w:numPr>
          <w:ilvl w:val="12"/>
          <w:numId w:val="0"/>
        </w:numPr>
        <w:jc w:val="center"/>
        <w:rPr>
          <w:b/>
          <w:szCs w:val="24"/>
        </w:rPr>
      </w:pPr>
      <w:r w:rsidRPr="00010BB4">
        <w:rPr>
          <w:b/>
          <w:szCs w:val="24"/>
        </w:rPr>
        <w:t>MINISTRY OF HEALTH</w:t>
      </w:r>
    </w:p>
    <w:p w:rsidR="008D2EB6" w:rsidRPr="00010BB4" w:rsidRDefault="008D2EB6" w:rsidP="008D2EB6">
      <w:pPr>
        <w:numPr>
          <w:ilvl w:val="12"/>
          <w:numId w:val="0"/>
        </w:numPr>
        <w:jc w:val="center"/>
        <w:rPr>
          <w:b/>
          <w:szCs w:val="24"/>
        </w:rPr>
      </w:pPr>
      <w:r w:rsidRPr="00010BB4">
        <w:rPr>
          <w:b/>
          <w:szCs w:val="24"/>
        </w:rPr>
        <w:t>28</w:t>
      </w:r>
      <w:r w:rsidRPr="00010BB4">
        <w:rPr>
          <w:b/>
          <w:szCs w:val="24"/>
          <w:vertAlign w:val="superscript"/>
        </w:rPr>
        <w:t>TH</w:t>
      </w:r>
      <w:r w:rsidRPr="00010BB4">
        <w:rPr>
          <w:b/>
          <w:szCs w:val="24"/>
        </w:rPr>
        <w:t xml:space="preserve"> FEBRUARY ROAD</w:t>
      </w:r>
    </w:p>
    <w:p w:rsidR="008D2EB6" w:rsidRPr="00010BB4" w:rsidRDefault="008D2EB6" w:rsidP="008D2EB6">
      <w:pPr>
        <w:numPr>
          <w:ilvl w:val="12"/>
          <w:numId w:val="0"/>
        </w:numPr>
        <w:jc w:val="center"/>
        <w:rPr>
          <w:b/>
          <w:szCs w:val="24"/>
        </w:rPr>
      </w:pPr>
      <w:r w:rsidRPr="00010BB4">
        <w:rPr>
          <w:b/>
          <w:szCs w:val="24"/>
        </w:rPr>
        <w:t>NEAR DEPARTMENT OF NATIONAL LOTTERIES</w:t>
      </w:r>
    </w:p>
    <w:p w:rsidR="008D2EB6" w:rsidRPr="00010BB4" w:rsidRDefault="008D2EB6" w:rsidP="008D2EB6">
      <w:pPr>
        <w:numPr>
          <w:ilvl w:val="12"/>
          <w:numId w:val="0"/>
        </w:numPr>
        <w:jc w:val="center"/>
        <w:rPr>
          <w:b/>
          <w:szCs w:val="24"/>
        </w:rPr>
      </w:pPr>
      <w:r w:rsidRPr="00010BB4">
        <w:rPr>
          <w:b/>
          <w:szCs w:val="24"/>
        </w:rPr>
        <w:t>P. O. BOX MB44</w:t>
      </w:r>
    </w:p>
    <w:p w:rsidR="008D2EB6" w:rsidRPr="00010BB4" w:rsidRDefault="008D2EB6" w:rsidP="008D2EB6">
      <w:pPr>
        <w:numPr>
          <w:ilvl w:val="12"/>
          <w:numId w:val="0"/>
        </w:numPr>
        <w:jc w:val="center"/>
        <w:rPr>
          <w:b/>
          <w:szCs w:val="24"/>
        </w:rPr>
      </w:pPr>
      <w:r w:rsidRPr="00010BB4">
        <w:rPr>
          <w:b/>
          <w:szCs w:val="24"/>
        </w:rPr>
        <w:t>ACCRA</w:t>
      </w:r>
    </w:p>
    <w:p w:rsidR="008D2EB6" w:rsidRPr="00010BB4" w:rsidRDefault="008D2EB6" w:rsidP="008D2EB6">
      <w:pPr>
        <w:numPr>
          <w:ilvl w:val="12"/>
          <w:numId w:val="0"/>
        </w:numPr>
        <w:jc w:val="center"/>
        <w:rPr>
          <w:b/>
          <w:szCs w:val="24"/>
        </w:rPr>
      </w:pPr>
      <w:r w:rsidRPr="00010BB4">
        <w:rPr>
          <w:b/>
          <w:szCs w:val="24"/>
        </w:rPr>
        <w:t>Tel.:</w:t>
      </w:r>
      <w:r w:rsidRPr="00010BB4">
        <w:rPr>
          <w:b/>
          <w:szCs w:val="24"/>
        </w:rPr>
        <w:tab/>
        <w:t>+233-050 122 8029/ 050 122 8051</w:t>
      </w:r>
    </w:p>
    <w:p w:rsidR="008D2EB6" w:rsidRPr="00010BB4" w:rsidRDefault="008D2EB6" w:rsidP="008D2EB6">
      <w:pPr>
        <w:numPr>
          <w:ilvl w:val="12"/>
          <w:numId w:val="0"/>
        </w:numPr>
        <w:jc w:val="center"/>
        <w:rPr>
          <w:b/>
          <w:szCs w:val="24"/>
        </w:rPr>
      </w:pPr>
      <w:r w:rsidRPr="00010BB4">
        <w:rPr>
          <w:b/>
          <w:szCs w:val="24"/>
        </w:rPr>
        <w:t>E-mail:</w:t>
      </w:r>
      <w:r w:rsidRPr="00010BB4">
        <w:rPr>
          <w:b/>
          <w:szCs w:val="24"/>
        </w:rPr>
        <w:tab/>
      </w:r>
      <w:hyperlink r:id="rId6" w:history="1">
        <w:r w:rsidRPr="00010BB4">
          <w:rPr>
            <w:rStyle w:val="Hyperlink"/>
            <w:b/>
            <w:szCs w:val="24"/>
          </w:rPr>
          <w:t>procurementmohghana@gmail.com</w:t>
        </w:r>
      </w:hyperlink>
      <w:r w:rsidRPr="00010BB4">
        <w:rPr>
          <w:b/>
          <w:szCs w:val="24"/>
        </w:rPr>
        <w:t xml:space="preserve">  (queries only)</w:t>
      </w:r>
    </w:p>
    <w:p w:rsidR="008D2EB6" w:rsidRPr="00010BB4" w:rsidRDefault="008D2EB6" w:rsidP="00D3777E">
      <w:pPr>
        <w:numPr>
          <w:ilvl w:val="12"/>
          <w:numId w:val="0"/>
        </w:numPr>
        <w:rPr>
          <w:szCs w:val="24"/>
        </w:rPr>
      </w:pPr>
    </w:p>
    <w:p w:rsidR="008D2EB6" w:rsidRPr="00010BB4" w:rsidRDefault="008D2EB6" w:rsidP="008D2EB6">
      <w:pPr>
        <w:numPr>
          <w:ilvl w:val="12"/>
          <w:numId w:val="0"/>
        </w:numPr>
        <w:jc w:val="center"/>
        <w:rPr>
          <w:szCs w:val="24"/>
        </w:rPr>
      </w:pPr>
    </w:p>
    <w:p w:rsidR="008D2EB6" w:rsidRPr="007930E9" w:rsidRDefault="007930E9" w:rsidP="008D2EB6">
      <w:pPr>
        <w:numPr>
          <w:ilvl w:val="12"/>
          <w:numId w:val="0"/>
        </w:numPr>
        <w:jc w:val="center"/>
        <w:rPr>
          <w:b/>
          <w:szCs w:val="24"/>
        </w:rPr>
      </w:pPr>
      <w:r w:rsidRPr="007930E9">
        <w:rPr>
          <w:b/>
          <w:szCs w:val="24"/>
        </w:rPr>
        <w:t>SIGNED</w:t>
      </w:r>
    </w:p>
    <w:p w:rsidR="008D2EB6" w:rsidRPr="00010BB4" w:rsidRDefault="008D2EB6" w:rsidP="008D2EB6">
      <w:pPr>
        <w:numPr>
          <w:ilvl w:val="12"/>
          <w:numId w:val="0"/>
        </w:numPr>
        <w:jc w:val="center"/>
        <w:rPr>
          <w:szCs w:val="24"/>
        </w:rPr>
      </w:pPr>
      <w:r w:rsidRPr="00010BB4">
        <w:rPr>
          <w:szCs w:val="24"/>
        </w:rPr>
        <w:t>------------------------------------------------------------------</w:t>
      </w:r>
    </w:p>
    <w:p w:rsidR="008D2EB6" w:rsidRPr="00010BB4" w:rsidRDefault="008D2EB6" w:rsidP="008D2EB6">
      <w:pPr>
        <w:numPr>
          <w:ilvl w:val="12"/>
          <w:numId w:val="0"/>
        </w:numPr>
        <w:jc w:val="center"/>
        <w:rPr>
          <w:b/>
          <w:szCs w:val="24"/>
        </w:rPr>
      </w:pPr>
      <w:r w:rsidRPr="00010BB4">
        <w:rPr>
          <w:b/>
          <w:szCs w:val="24"/>
        </w:rPr>
        <w:t>KWAKU AGYEMAN-MANU (MP)</w:t>
      </w:r>
    </w:p>
    <w:p w:rsidR="008D2EB6" w:rsidRPr="00010BB4" w:rsidRDefault="008D2EB6" w:rsidP="008D2EB6">
      <w:pPr>
        <w:numPr>
          <w:ilvl w:val="12"/>
          <w:numId w:val="0"/>
        </w:numPr>
        <w:jc w:val="center"/>
        <w:rPr>
          <w:rFonts w:ascii="Arial" w:hAnsi="Arial"/>
          <w:b/>
        </w:rPr>
      </w:pPr>
      <w:r w:rsidRPr="00010BB4">
        <w:rPr>
          <w:b/>
          <w:szCs w:val="24"/>
        </w:rPr>
        <w:t>HON. MINISTER OF HEALTH</w:t>
      </w:r>
    </w:p>
    <w:p w:rsidR="00AE7FF2" w:rsidRPr="008D2EB6" w:rsidRDefault="00F8730D" w:rsidP="008D2EB6"/>
    <w:sectPr w:rsidR="00AE7FF2" w:rsidRPr="008D2EB6" w:rsidSect="00802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EF17BB"/>
    <w:multiLevelType w:val="hybridMultilevel"/>
    <w:tmpl w:val="06DA5A8A"/>
    <w:lvl w:ilvl="0" w:tplc="D6283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E05CB7"/>
    <w:multiLevelType w:val="hybridMultilevel"/>
    <w:tmpl w:val="5ADC379E"/>
    <w:lvl w:ilvl="0" w:tplc="0409000F">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EB6"/>
    <w:rsid w:val="00220502"/>
    <w:rsid w:val="00390BEA"/>
    <w:rsid w:val="004B6507"/>
    <w:rsid w:val="005B472C"/>
    <w:rsid w:val="005D0C92"/>
    <w:rsid w:val="005E2297"/>
    <w:rsid w:val="006C5C33"/>
    <w:rsid w:val="007930E9"/>
    <w:rsid w:val="007F1265"/>
    <w:rsid w:val="00802B72"/>
    <w:rsid w:val="00897726"/>
    <w:rsid w:val="008D2EB6"/>
    <w:rsid w:val="009F4217"/>
    <w:rsid w:val="00CB178B"/>
    <w:rsid w:val="00D3777E"/>
    <w:rsid w:val="00DB70AA"/>
    <w:rsid w:val="00E304ED"/>
    <w:rsid w:val="00F0141B"/>
    <w:rsid w:val="00F22B4D"/>
    <w:rsid w:val="00F8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96F23D-428A-42A1-90EB-24839B3C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EB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 1"/>
    <w:rsid w:val="008D2EB6"/>
    <w:pPr>
      <w:keepNext/>
      <w:keepLines/>
      <w:tabs>
        <w:tab w:val="left" w:pos="-720"/>
      </w:tabs>
      <w:suppressAutoHyphens/>
      <w:spacing w:after="0" w:line="240" w:lineRule="auto"/>
    </w:pPr>
    <w:rPr>
      <w:rFonts w:ascii="Courier" w:eastAsia="Times New Roman" w:hAnsi="Courier" w:cs="Times New Roman"/>
      <w:sz w:val="24"/>
      <w:szCs w:val="20"/>
    </w:rPr>
  </w:style>
  <w:style w:type="character" w:styleId="Hyperlink">
    <w:name w:val="Hyperlink"/>
    <w:uiPriority w:val="99"/>
    <w:rsid w:val="008D2EB6"/>
    <w:rPr>
      <w:color w:val="0000FF"/>
      <w:u w:val="single"/>
    </w:rPr>
  </w:style>
  <w:style w:type="paragraph" w:styleId="BalloonText">
    <w:name w:val="Balloon Text"/>
    <w:basedOn w:val="Normal"/>
    <w:link w:val="BalloonTextChar"/>
    <w:uiPriority w:val="99"/>
    <w:semiHidden/>
    <w:unhideWhenUsed/>
    <w:rsid w:val="008D2EB6"/>
    <w:rPr>
      <w:rFonts w:ascii="Tahoma" w:hAnsi="Tahoma" w:cs="Tahoma"/>
      <w:sz w:val="16"/>
      <w:szCs w:val="16"/>
    </w:rPr>
  </w:style>
  <w:style w:type="character" w:customStyle="1" w:styleId="BalloonTextChar">
    <w:name w:val="Balloon Text Char"/>
    <w:basedOn w:val="DefaultParagraphFont"/>
    <w:link w:val="BalloonText"/>
    <w:uiPriority w:val="99"/>
    <w:semiHidden/>
    <w:rsid w:val="008D2EB6"/>
    <w:rPr>
      <w:rFonts w:ascii="Tahoma" w:eastAsia="Times New Roman" w:hAnsi="Tahoma" w:cs="Tahoma"/>
      <w:sz w:val="16"/>
      <w:szCs w:val="16"/>
    </w:rPr>
  </w:style>
  <w:style w:type="paragraph" w:styleId="Caption">
    <w:name w:val="caption"/>
    <w:basedOn w:val="Normal"/>
    <w:next w:val="Normal"/>
    <w:qFormat/>
    <w:rsid w:val="00CB178B"/>
  </w:style>
  <w:style w:type="paragraph" w:styleId="ListParagraph">
    <w:name w:val="List Paragraph"/>
    <w:basedOn w:val="Normal"/>
    <w:uiPriority w:val="34"/>
    <w:qFormat/>
    <w:rsid w:val="00897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mohghana@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 me</dc:creator>
  <cp:lastModifiedBy>MOH_2</cp:lastModifiedBy>
  <cp:revision>2</cp:revision>
  <dcterms:created xsi:type="dcterms:W3CDTF">2018-07-04T01:15:00Z</dcterms:created>
  <dcterms:modified xsi:type="dcterms:W3CDTF">2018-07-04T01:15:00Z</dcterms:modified>
</cp:coreProperties>
</file>